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932.13</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773.01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932.13</w:t>
            </w:r>
          </w:p>
        </w:tc>
        <w:tc>
          <w:tcPr>
            <w:tcW w:w="1971" w:type="dxa"/>
            <w:vAlign w:val="center"/>
          </w:tcPr>
          <w:p>
            <w:pPr>
              <w:pStyle w:val="16"/>
            </w:pPr>
            <w:r>
              <w:t>本年支出合计</w:t>
            </w:r>
          </w:p>
        </w:tc>
        <w:tc>
          <w:tcPr>
            <w:tcW w:w="1971" w:type="dxa"/>
            <w:vAlign w:val="center"/>
          </w:tcPr>
          <w:p>
            <w:pPr>
              <w:pStyle w:val="17"/>
            </w:pPr>
            <w:r>
              <w:t>932.13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932.13</w:t>
            </w:r>
          </w:p>
        </w:tc>
        <w:tc>
          <w:tcPr>
            <w:tcW w:w="1971" w:type="dxa"/>
            <w:vAlign w:val="center"/>
          </w:tcPr>
          <w:p>
            <w:pPr>
              <w:pStyle w:val="16"/>
            </w:pPr>
            <w:r>
              <w:t>支出总计</w:t>
            </w:r>
          </w:p>
        </w:tc>
        <w:tc>
          <w:tcPr>
            <w:tcW w:w="1971" w:type="dxa"/>
            <w:vAlign w:val="center"/>
          </w:tcPr>
          <w:p>
            <w:pPr>
              <w:pStyle w:val="17"/>
            </w:pPr>
            <w:r>
              <w:t>932.13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507张家口市崇礼区人民检察院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932.13</w:t>
            </w:r>
          </w:p>
        </w:tc>
        <w:tc>
          <w:tcPr>
            <w:tcW w:w="758" w:type="dxa"/>
            <w:vAlign w:val="center"/>
          </w:tcPr>
          <w:p>
            <w:pPr>
              <w:pStyle w:val="17"/>
            </w:pPr>
            <w:r>
              <w:t>932.13</w:t>
            </w:r>
          </w:p>
        </w:tc>
        <w:tc>
          <w:tcPr>
            <w:tcW w:w="758" w:type="dxa"/>
            <w:vAlign w:val="center"/>
          </w:tcPr>
          <w:p>
            <w:pPr>
              <w:pStyle w:val="17"/>
            </w:pPr>
            <w:r>
              <w:t>932.13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20404</w:t>
            </w:r>
          </w:p>
        </w:tc>
        <w:tc>
          <w:tcPr>
            <w:tcW w:w="758" w:type="dxa"/>
            <w:vAlign w:val="center"/>
          </w:tcPr>
          <w:p>
            <w:pPr>
              <w:pStyle w:val="14"/>
            </w:pPr>
            <w:r>
              <w:t>检察</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2040401</w:t>
            </w:r>
          </w:p>
        </w:tc>
        <w:tc>
          <w:tcPr>
            <w:tcW w:w="758" w:type="dxa"/>
            <w:vAlign w:val="center"/>
          </w:tcPr>
          <w:p>
            <w:pPr>
              <w:pStyle w:val="14"/>
            </w:pPr>
            <w:r>
              <w:t>行政运行</w:t>
            </w:r>
          </w:p>
        </w:tc>
        <w:tc>
          <w:tcPr>
            <w:tcW w:w="758" w:type="dxa"/>
            <w:vAlign w:val="center"/>
          </w:tcPr>
          <w:p>
            <w:pPr>
              <w:pStyle w:val="13"/>
            </w:pPr>
            <w:r>
              <w:t>575.55</w:t>
            </w:r>
          </w:p>
        </w:tc>
        <w:tc>
          <w:tcPr>
            <w:tcW w:w="758" w:type="dxa"/>
            <w:vAlign w:val="center"/>
          </w:tcPr>
          <w:p>
            <w:pPr>
              <w:pStyle w:val="13"/>
            </w:pPr>
            <w:r>
              <w:t>575.55</w:t>
            </w:r>
          </w:p>
        </w:tc>
        <w:tc>
          <w:tcPr>
            <w:tcW w:w="758" w:type="dxa"/>
            <w:vAlign w:val="center"/>
          </w:tcPr>
          <w:p>
            <w:pPr>
              <w:pStyle w:val="13"/>
            </w:pPr>
            <w:r>
              <w:t>575.55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2040499</w:t>
            </w:r>
          </w:p>
        </w:tc>
        <w:tc>
          <w:tcPr>
            <w:tcW w:w="758" w:type="dxa"/>
            <w:vAlign w:val="center"/>
          </w:tcPr>
          <w:p>
            <w:pPr>
              <w:pStyle w:val="14"/>
            </w:pPr>
            <w:r>
              <w:t>其他检察支出</w:t>
            </w:r>
          </w:p>
        </w:tc>
        <w:tc>
          <w:tcPr>
            <w:tcW w:w="758" w:type="dxa"/>
            <w:vAlign w:val="center"/>
          </w:tcPr>
          <w:p>
            <w:pPr>
              <w:pStyle w:val="13"/>
            </w:pPr>
            <w:r>
              <w:t>197.46</w:t>
            </w:r>
          </w:p>
        </w:tc>
        <w:tc>
          <w:tcPr>
            <w:tcW w:w="758" w:type="dxa"/>
            <w:vAlign w:val="center"/>
          </w:tcPr>
          <w:p>
            <w:pPr>
              <w:pStyle w:val="13"/>
            </w:pPr>
            <w:r>
              <w:t>197.46</w:t>
            </w:r>
          </w:p>
        </w:tc>
        <w:tc>
          <w:tcPr>
            <w:tcW w:w="758" w:type="dxa"/>
            <w:vAlign w:val="center"/>
          </w:tcPr>
          <w:p>
            <w:pPr>
              <w:pStyle w:val="13"/>
            </w:pPr>
            <w:r>
              <w:t>197.46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51.69</w:t>
            </w:r>
          </w:p>
        </w:tc>
        <w:tc>
          <w:tcPr>
            <w:tcW w:w="758" w:type="dxa"/>
            <w:vAlign w:val="center"/>
          </w:tcPr>
          <w:p>
            <w:pPr>
              <w:pStyle w:val="13"/>
            </w:pPr>
            <w:r>
              <w:t>51.69</w:t>
            </w:r>
          </w:p>
        </w:tc>
        <w:tc>
          <w:tcPr>
            <w:tcW w:w="758" w:type="dxa"/>
            <w:vAlign w:val="center"/>
          </w:tcPr>
          <w:p>
            <w:pPr>
              <w:pStyle w:val="13"/>
            </w:pPr>
            <w:r>
              <w:t>51.69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37.20</w:t>
            </w:r>
          </w:p>
        </w:tc>
        <w:tc>
          <w:tcPr>
            <w:tcW w:w="758" w:type="dxa"/>
            <w:vAlign w:val="center"/>
          </w:tcPr>
          <w:p>
            <w:pPr>
              <w:pStyle w:val="13"/>
            </w:pPr>
            <w:r>
              <w:t>37.20</w:t>
            </w:r>
          </w:p>
        </w:tc>
        <w:tc>
          <w:tcPr>
            <w:tcW w:w="758" w:type="dxa"/>
            <w:vAlign w:val="center"/>
          </w:tcPr>
          <w:p>
            <w:pPr>
              <w:pStyle w:val="13"/>
            </w:pPr>
            <w:r>
              <w:t>37.20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932.13</w:t>
            </w:r>
          </w:p>
        </w:tc>
        <w:tc>
          <w:tcPr>
            <w:tcW w:w="1095" w:type="dxa"/>
            <w:vAlign w:val="center"/>
          </w:tcPr>
          <w:p>
            <w:pPr>
              <w:pStyle w:val="17"/>
            </w:pPr>
            <w:r>
              <w:t>734.67</w:t>
            </w:r>
          </w:p>
        </w:tc>
        <w:tc>
          <w:tcPr>
            <w:tcW w:w="1095" w:type="dxa"/>
            <w:vAlign w:val="center"/>
          </w:tcPr>
          <w:p>
            <w:pPr>
              <w:pStyle w:val="17"/>
            </w:pPr>
            <w:r>
              <w:t>197.46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773.01</w:t>
            </w:r>
          </w:p>
        </w:tc>
        <w:tc>
          <w:tcPr>
            <w:tcW w:w="1095" w:type="dxa"/>
            <w:vAlign w:val="center"/>
          </w:tcPr>
          <w:p>
            <w:pPr>
              <w:pStyle w:val="13"/>
            </w:pPr>
            <w:r>
              <w:t>575.55</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20404</w:t>
            </w:r>
          </w:p>
        </w:tc>
        <w:tc>
          <w:tcPr>
            <w:tcW w:w="1095" w:type="dxa"/>
            <w:vAlign w:val="center"/>
          </w:tcPr>
          <w:p>
            <w:pPr>
              <w:pStyle w:val="14"/>
            </w:pPr>
            <w:r>
              <w:t>检察</w:t>
            </w:r>
          </w:p>
        </w:tc>
        <w:tc>
          <w:tcPr>
            <w:tcW w:w="1095" w:type="dxa"/>
            <w:vAlign w:val="center"/>
          </w:tcPr>
          <w:p>
            <w:pPr>
              <w:pStyle w:val="13"/>
            </w:pPr>
            <w:r>
              <w:t>773.01</w:t>
            </w:r>
          </w:p>
        </w:tc>
        <w:tc>
          <w:tcPr>
            <w:tcW w:w="1095" w:type="dxa"/>
            <w:vAlign w:val="center"/>
          </w:tcPr>
          <w:p>
            <w:pPr>
              <w:pStyle w:val="13"/>
            </w:pPr>
            <w:r>
              <w:t>575.55</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2040401</w:t>
            </w:r>
          </w:p>
        </w:tc>
        <w:tc>
          <w:tcPr>
            <w:tcW w:w="1095" w:type="dxa"/>
            <w:vAlign w:val="center"/>
          </w:tcPr>
          <w:p>
            <w:pPr>
              <w:pStyle w:val="14"/>
            </w:pPr>
            <w:r>
              <w:t>行政运行</w:t>
            </w:r>
          </w:p>
        </w:tc>
        <w:tc>
          <w:tcPr>
            <w:tcW w:w="1095" w:type="dxa"/>
            <w:vAlign w:val="center"/>
          </w:tcPr>
          <w:p>
            <w:pPr>
              <w:pStyle w:val="13"/>
            </w:pPr>
            <w:r>
              <w:t>575.55</w:t>
            </w:r>
          </w:p>
        </w:tc>
        <w:tc>
          <w:tcPr>
            <w:tcW w:w="1095" w:type="dxa"/>
            <w:vAlign w:val="center"/>
          </w:tcPr>
          <w:p>
            <w:pPr>
              <w:pStyle w:val="13"/>
            </w:pPr>
            <w:r>
              <w:t>575.55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2040499</w:t>
            </w:r>
          </w:p>
        </w:tc>
        <w:tc>
          <w:tcPr>
            <w:tcW w:w="1095" w:type="dxa"/>
            <w:vAlign w:val="center"/>
          </w:tcPr>
          <w:p>
            <w:pPr>
              <w:pStyle w:val="14"/>
            </w:pPr>
            <w:r>
              <w:t>其他检察支出</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88.89</w:t>
            </w:r>
          </w:p>
        </w:tc>
        <w:tc>
          <w:tcPr>
            <w:tcW w:w="1095" w:type="dxa"/>
            <w:vAlign w:val="center"/>
          </w:tcPr>
          <w:p>
            <w:pPr>
              <w:pStyle w:val="13"/>
            </w:pPr>
            <w:r>
              <w:t>88.89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88.89</w:t>
            </w:r>
          </w:p>
        </w:tc>
        <w:tc>
          <w:tcPr>
            <w:tcW w:w="1095" w:type="dxa"/>
            <w:vAlign w:val="center"/>
          </w:tcPr>
          <w:p>
            <w:pPr>
              <w:pStyle w:val="13"/>
            </w:pPr>
            <w:r>
              <w:t>88.89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51.69</w:t>
            </w:r>
          </w:p>
        </w:tc>
        <w:tc>
          <w:tcPr>
            <w:tcW w:w="1095" w:type="dxa"/>
            <w:vAlign w:val="center"/>
          </w:tcPr>
          <w:p>
            <w:pPr>
              <w:pStyle w:val="13"/>
            </w:pPr>
            <w:r>
              <w:t>51.69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37.20</w:t>
            </w:r>
          </w:p>
        </w:tc>
        <w:tc>
          <w:tcPr>
            <w:tcW w:w="1095" w:type="dxa"/>
            <w:vAlign w:val="center"/>
          </w:tcPr>
          <w:p>
            <w:pPr>
              <w:pStyle w:val="13"/>
            </w:pPr>
            <w:r>
              <w:t>37.20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932.13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773.01</w:t>
            </w:r>
          </w:p>
        </w:tc>
        <w:tc>
          <w:tcPr>
            <w:tcW w:w="1232" w:type="dxa"/>
            <w:vAlign w:val="center"/>
          </w:tcPr>
          <w:p>
            <w:pPr>
              <w:pStyle w:val="13"/>
            </w:pPr>
            <w:r>
              <w:t>773.01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88.89</w:t>
            </w:r>
          </w:p>
        </w:tc>
        <w:tc>
          <w:tcPr>
            <w:tcW w:w="1232" w:type="dxa"/>
            <w:vAlign w:val="center"/>
          </w:tcPr>
          <w:p>
            <w:pPr>
              <w:pStyle w:val="13"/>
            </w:pPr>
            <w:r>
              <w:t>88.89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38.67</w:t>
            </w:r>
          </w:p>
        </w:tc>
        <w:tc>
          <w:tcPr>
            <w:tcW w:w="1232" w:type="dxa"/>
            <w:vAlign w:val="center"/>
          </w:tcPr>
          <w:p>
            <w:pPr>
              <w:pStyle w:val="13"/>
            </w:pPr>
            <w:r>
              <w:t>38.67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31.56</w:t>
            </w:r>
          </w:p>
        </w:tc>
        <w:tc>
          <w:tcPr>
            <w:tcW w:w="1232" w:type="dxa"/>
            <w:vAlign w:val="center"/>
          </w:tcPr>
          <w:p>
            <w:pPr>
              <w:pStyle w:val="13"/>
            </w:pPr>
            <w:r>
              <w:t>31.56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932.13</w:t>
            </w:r>
          </w:p>
        </w:tc>
        <w:tc>
          <w:tcPr>
            <w:tcW w:w="1232" w:type="dxa"/>
            <w:vAlign w:val="center"/>
          </w:tcPr>
          <w:p>
            <w:pPr>
              <w:pStyle w:val="16"/>
            </w:pPr>
            <w:r>
              <w:t>本年支出合计</w:t>
            </w:r>
          </w:p>
        </w:tc>
        <w:tc>
          <w:tcPr>
            <w:tcW w:w="1232" w:type="dxa"/>
            <w:vAlign w:val="center"/>
          </w:tcPr>
          <w:p>
            <w:pPr>
              <w:pStyle w:val="17"/>
            </w:pPr>
            <w:r>
              <w:t>932.13</w:t>
            </w:r>
          </w:p>
        </w:tc>
        <w:tc>
          <w:tcPr>
            <w:tcW w:w="1232" w:type="dxa"/>
            <w:vAlign w:val="center"/>
          </w:tcPr>
          <w:p>
            <w:pPr>
              <w:pStyle w:val="17"/>
            </w:pPr>
            <w:r>
              <w:t>932.13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932.13</w:t>
            </w:r>
          </w:p>
        </w:tc>
        <w:tc>
          <w:tcPr>
            <w:tcW w:w="1232" w:type="dxa"/>
            <w:vAlign w:val="center"/>
          </w:tcPr>
          <w:p>
            <w:pPr>
              <w:pStyle w:val="16"/>
            </w:pPr>
            <w:r>
              <w:t>支出总计</w:t>
            </w:r>
          </w:p>
        </w:tc>
        <w:tc>
          <w:tcPr>
            <w:tcW w:w="1232" w:type="dxa"/>
            <w:vAlign w:val="center"/>
          </w:tcPr>
          <w:p>
            <w:pPr>
              <w:pStyle w:val="17"/>
            </w:pPr>
            <w:r>
              <w:t>932.13</w:t>
            </w:r>
          </w:p>
        </w:tc>
        <w:tc>
          <w:tcPr>
            <w:tcW w:w="1232" w:type="dxa"/>
            <w:vAlign w:val="center"/>
          </w:tcPr>
          <w:p>
            <w:pPr>
              <w:pStyle w:val="17"/>
            </w:pPr>
            <w:r>
              <w:t>932.13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932.13</w:t>
            </w:r>
          </w:p>
        </w:tc>
        <w:tc>
          <w:tcPr>
            <w:tcW w:w="1643" w:type="dxa"/>
            <w:vAlign w:val="center"/>
          </w:tcPr>
          <w:p>
            <w:pPr>
              <w:pStyle w:val="17"/>
            </w:pPr>
            <w:r>
              <w:t>734.67</w:t>
            </w:r>
          </w:p>
        </w:tc>
        <w:tc>
          <w:tcPr>
            <w:tcW w:w="1643" w:type="dxa"/>
            <w:vAlign w:val="center"/>
          </w:tcPr>
          <w:p>
            <w:pPr>
              <w:pStyle w:val="17"/>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773.01</w:t>
            </w:r>
          </w:p>
        </w:tc>
        <w:tc>
          <w:tcPr>
            <w:tcW w:w="1643" w:type="dxa"/>
            <w:vAlign w:val="center"/>
          </w:tcPr>
          <w:p>
            <w:pPr>
              <w:pStyle w:val="13"/>
            </w:pPr>
            <w:r>
              <w:t>575.55</w:t>
            </w: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20404</w:t>
            </w:r>
          </w:p>
        </w:tc>
        <w:tc>
          <w:tcPr>
            <w:tcW w:w="1643" w:type="dxa"/>
            <w:vAlign w:val="center"/>
          </w:tcPr>
          <w:p>
            <w:pPr>
              <w:pStyle w:val="14"/>
            </w:pPr>
            <w:r>
              <w:t>检察</w:t>
            </w:r>
          </w:p>
        </w:tc>
        <w:tc>
          <w:tcPr>
            <w:tcW w:w="1643" w:type="dxa"/>
            <w:vAlign w:val="center"/>
          </w:tcPr>
          <w:p>
            <w:pPr>
              <w:pStyle w:val="13"/>
            </w:pPr>
            <w:r>
              <w:t>773.01</w:t>
            </w:r>
          </w:p>
        </w:tc>
        <w:tc>
          <w:tcPr>
            <w:tcW w:w="1643" w:type="dxa"/>
            <w:vAlign w:val="center"/>
          </w:tcPr>
          <w:p>
            <w:pPr>
              <w:pStyle w:val="13"/>
            </w:pPr>
            <w:r>
              <w:t>575.55</w:t>
            </w: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2040401</w:t>
            </w:r>
          </w:p>
        </w:tc>
        <w:tc>
          <w:tcPr>
            <w:tcW w:w="1643" w:type="dxa"/>
            <w:vAlign w:val="center"/>
          </w:tcPr>
          <w:p>
            <w:pPr>
              <w:pStyle w:val="14"/>
            </w:pPr>
            <w:r>
              <w:t>行政运行</w:t>
            </w:r>
          </w:p>
        </w:tc>
        <w:tc>
          <w:tcPr>
            <w:tcW w:w="1643" w:type="dxa"/>
            <w:vAlign w:val="center"/>
          </w:tcPr>
          <w:p>
            <w:pPr>
              <w:pStyle w:val="13"/>
            </w:pPr>
            <w:r>
              <w:t>575.55</w:t>
            </w:r>
          </w:p>
        </w:tc>
        <w:tc>
          <w:tcPr>
            <w:tcW w:w="1643" w:type="dxa"/>
            <w:vAlign w:val="center"/>
          </w:tcPr>
          <w:p>
            <w:pPr>
              <w:pStyle w:val="13"/>
            </w:pPr>
            <w:r>
              <w:t>575.55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2040499</w:t>
            </w:r>
          </w:p>
        </w:tc>
        <w:tc>
          <w:tcPr>
            <w:tcW w:w="1643" w:type="dxa"/>
            <w:vAlign w:val="center"/>
          </w:tcPr>
          <w:p>
            <w:pPr>
              <w:pStyle w:val="14"/>
            </w:pPr>
            <w:r>
              <w:t>其他检察支出</w:t>
            </w:r>
          </w:p>
        </w:tc>
        <w:tc>
          <w:tcPr>
            <w:tcW w:w="1643" w:type="dxa"/>
            <w:vAlign w:val="center"/>
          </w:tcPr>
          <w:p>
            <w:pPr>
              <w:pStyle w:val="13"/>
            </w:pPr>
            <w:r>
              <w:t>197.46</w:t>
            </w:r>
          </w:p>
        </w:tc>
        <w:tc>
          <w:tcPr>
            <w:tcW w:w="1643" w:type="dxa"/>
            <w:vAlign w:val="center"/>
          </w:tcPr>
          <w:p>
            <w:pPr>
              <w:pStyle w:val="13"/>
            </w:pP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88.89</w:t>
            </w:r>
          </w:p>
        </w:tc>
        <w:tc>
          <w:tcPr>
            <w:tcW w:w="1643" w:type="dxa"/>
            <w:vAlign w:val="center"/>
          </w:tcPr>
          <w:p>
            <w:pPr>
              <w:pStyle w:val="13"/>
            </w:pPr>
            <w:r>
              <w:t>88.89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88.89</w:t>
            </w:r>
          </w:p>
        </w:tc>
        <w:tc>
          <w:tcPr>
            <w:tcW w:w="1643" w:type="dxa"/>
            <w:vAlign w:val="center"/>
          </w:tcPr>
          <w:p>
            <w:pPr>
              <w:pStyle w:val="13"/>
            </w:pPr>
            <w:r>
              <w:t>88.89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51.69</w:t>
            </w:r>
          </w:p>
        </w:tc>
        <w:tc>
          <w:tcPr>
            <w:tcW w:w="1643" w:type="dxa"/>
            <w:vAlign w:val="center"/>
          </w:tcPr>
          <w:p>
            <w:pPr>
              <w:pStyle w:val="13"/>
            </w:pPr>
            <w:r>
              <w:t>51.69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37.20</w:t>
            </w:r>
          </w:p>
        </w:tc>
        <w:tc>
          <w:tcPr>
            <w:tcW w:w="1643" w:type="dxa"/>
            <w:vAlign w:val="center"/>
          </w:tcPr>
          <w:p>
            <w:pPr>
              <w:pStyle w:val="13"/>
            </w:pPr>
            <w:r>
              <w:t>37.20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734.67</w:t>
            </w:r>
          </w:p>
        </w:tc>
        <w:tc>
          <w:tcPr>
            <w:tcW w:w="1643" w:type="dxa"/>
            <w:vAlign w:val="center"/>
          </w:tcPr>
          <w:p>
            <w:pPr>
              <w:pStyle w:val="17"/>
            </w:pPr>
            <w:r>
              <w:t>617.71</w:t>
            </w:r>
          </w:p>
        </w:tc>
        <w:tc>
          <w:tcPr>
            <w:tcW w:w="1643" w:type="dxa"/>
            <w:vAlign w:val="center"/>
          </w:tcPr>
          <w:p>
            <w:pPr>
              <w:pStyle w:val="17"/>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563.11</w:t>
            </w:r>
          </w:p>
        </w:tc>
        <w:tc>
          <w:tcPr>
            <w:tcW w:w="1643" w:type="dxa"/>
            <w:vAlign w:val="center"/>
          </w:tcPr>
          <w:p>
            <w:pPr>
              <w:pStyle w:val="13"/>
            </w:pPr>
            <w:r>
              <w:t>563.11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125.00</w:t>
            </w:r>
          </w:p>
        </w:tc>
        <w:tc>
          <w:tcPr>
            <w:tcW w:w="1643" w:type="dxa"/>
            <w:vAlign w:val="center"/>
          </w:tcPr>
          <w:p>
            <w:pPr>
              <w:pStyle w:val="13"/>
            </w:pPr>
            <w:r>
              <w:t>125.00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148.30</w:t>
            </w:r>
          </w:p>
        </w:tc>
        <w:tc>
          <w:tcPr>
            <w:tcW w:w="1643" w:type="dxa"/>
            <w:vAlign w:val="center"/>
          </w:tcPr>
          <w:p>
            <w:pPr>
              <w:pStyle w:val="13"/>
            </w:pPr>
            <w:r>
              <w:t>148.30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96.22</w:t>
            </w:r>
          </w:p>
        </w:tc>
        <w:tc>
          <w:tcPr>
            <w:tcW w:w="1643" w:type="dxa"/>
            <w:vAlign w:val="center"/>
          </w:tcPr>
          <w:p>
            <w:pPr>
              <w:pStyle w:val="13"/>
            </w:pPr>
            <w:r>
              <w:t>96.22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8.82</w:t>
            </w:r>
          </w:p>
        </w:tc>
        <w:tc>
          <w:tcPr>
            <w:tcW w:w="1643" w:type="dxa"/>
            <w:vAlign w:val="center"/>
          </w:tcPr>
          <w:p>
            <w:pPr>
              <w:pStyle w:val="13"/>
            </w:pPr>
            <w:r>
              <w:t>8.82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37.20</w:t>
            </w:r>
          </w:p>
        </w:tc>
        <w:tc>
          <w:tcPr>
            <w:tcW w:w="1643" w:type="dxa"/>
            <w:vAlign w:val="center"/>
          </w:tcPr>
          <w:p>
            <w:pPr>
              <w:pStyle w:val="13"/>
            </w:pPr>
            <w:r>
              <w:t>37.20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22.64</w:t>
            </w:r>
          </w:p>
        </w:tc>
        <w:tc>
          <w:tcPr>
            <w:tcW w:w="1643" w:type="dxa"/>
            <w:vAlign w:val="center"/>
          </w:tcPr>
          <w:p>
            <w:pPr>
              <w:pStyle w:val="13"/>
            </w:pPr>
            <w:r>
              <w:t>22.64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16.03</w:t>
            </w:r>
          </w:p>
        </w:tc>
        <w:tc>
          <w:tcPr>
            <w:tcW w:w="1643" w:type="dxa"/>
            <w:vAlign w:val="center"/>
          </w:tcPr>
          <w:p>
            <w:pPr>
              <w:pStyle w:val="13"/>
            </w:pPr>
            <w:r>
              <w:t>16.03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7.20</w:t>
            </w:r>
          </w:p>
        </w:tc>
        <w:tc>
          <w:tcPr>
            <w:tcW w:w="1643" w:type="dxa"/>
            <w:vAlign w:val="center"/>
          </w:tcPr>
          <w:p>
            <w:pPr>
              <w:pStyle w:val="13"/>
            </w:pPr>
            <w:r>
              <w:t>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70.14</w:t>
            </w:r>
          </w:p>
        </w:tc>
        <w:tc>
          <w:tcPr>
            <w:tcW w:w="1643" w:type="dxa"/>
            <w:vAlign w:val="center"/>
          </w:tcPr>
          <w:p>
            <w:pPr>
              <w:pStyle w:val="13"/>
            </w:pPr>
            <w:r>
              <w:t>70.14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116.96</w:t>
            </w:r>
          </w:p>
        </w:tc>
        <w:tc>
          <w:tcPr>
            <w:tcW w:w="1643" w:type="dxa"/>
            <w:vAlign w:val="center"/>
          </w:tcPr>
          <w:p>
            <w:pPr>
              <w:pStyle w:val="13"/>
            </w:pPr>
          </w:p>
        </w:tc>
        <w:tc>
          <w:tcPr>
            <w:tcW w:w="1643" w:type="dxa"/>
            <w:vAlign w:val="center"/>
          </w:tcPr>
          <w:p>
            <w:pPr>
              <w:pStyle w:val="13"/>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rPr>
                <w:rFonts w:hint="eastAsia" w:eastAsia="方正书宋_GBK"/>
                <w:lang w:val="en-US" w:eastAsia="zh-CN"/>
              </w:rPr>
            </w:pPr>
            <w:r>
              <w:t>6.4</w:t>
            </w:r>
            <w:r>
              <w:rPr>
                <w:rFonts w:hint="eastAsia"/>
                <w:lang w:val="en-US" w:eastAsia="zh-CN"/>
              </w:rPr>
              <w:t>9</w:t>
            </w:r>
          </w:p>
        </w:tc>
        <w:tc>
          <w:tcPr>
            <w:tcW w:w="1643" w:type="dxa"/>
            <w:vAlign w:val="center"/>
          </w:tcPr>
          <w:p>
            <w:pPr>
              <w:pStyle w:val="13"/>
            </w:pPr>
          </w:p>
        </w:tc>
        <w:tc>
          <w:tcPr>
            <w:tcW w:w="1643" w:type="dxa"/>
            <w:vAlign w:val="center"/>
          </w:tcPr>
          <w:p>
            <w:pPr>
              <w:pStyle w:val="13"/>
              <w:rPr>
                <w:rFonts w:hint="eastAsia" w:eastAsia="方正书宋_GBK"/>
                <w:lang w:val="en-US" w:eastAsia="zh-CN"/>
              </w:rPr>
            </w:pPr>
            <w:r>
              <w:t>6.4</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8.57</w:t>
            </w:r>
          </w:p>
        </w:tc>
        <w:tc>
          <w:tcPr>
            <w:tcW w:w="1643" w:type="dxa"/>
            <w:vAlign w:val="center"/>
          </w:tcPr>
          <w:p>
            <w:pPr>
              <w:pStyle w:val="13"/>
            </w:pPr>
          </w:p>
        </w:tc>
        <w:tc>
          <w:tcPr>
            <w:tcW w:w="1643" w:type="dxa"/>
            <w:vAlign w:val="center"/>
          </w:tcPr>
          <w:p>
            <w:pPr>
              <w:pStyle w:val="13"/>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19.70</w:t>
            </w:r>
          </w:p>
        </w:tc>
        <w:tc>
          <w:tcPr>
            <w:tcW w:w="1643" w:type="dxa"/>
            <w:vAlign w:val="center"/>
          </w:tcPr>
          <w:p>
            <w:pPr>
              <w:pStyle w:val="13"/>
            </w:pPr>
          </w:p>
        </w:tc>
        <w:tc>
          <w:tcPr>
            <w:tcW w:w="1643"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4.98</w:t>
            </w:r>
          </w:p>
        </w:tc>
        <w:tc>
          <w:tcPr>
            <w:tcW w:w="1643" w:type="dxa"/>
            <w:vAlign w:val="center"/>
          </w:tcPr>
          <w:p>
            <w:pPr>
              <w:pStyle w:val="13"/>
            </w:pPr>
          </w:p>
        </w:tc>
        <w:tc>
          <w:tcPr>
            <w:tcW w:w="1643" w:type="dxa"/>
            <w:vAlign w:val="center"/>
          </w:tcPr>
          <w:p>
            <w:pPr>
              <w:pStyle w:val="13"/>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1</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2</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3.54</w:t>
            </w:r>
          </w:p>
        </w:tc>
        <w:tc>
          <w:tcPr>
            <w:tcW w:w="1643" w:type="dxa"/>
            <w:vAlign w:val="center"/>
          </w:tcPr>
          <w:p>
            <w:pPr>
              <w:pStyle w:val="13"/>
            </w:pPr>
          </w:p>
        </w:tc>
        <w:tc>
          <w:tcPr>
            <w:tcW w:w="1643"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3</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2.52</w:t>
            </w:r>
          </w:p>
        </w:tc>
        <w:tc>
          <w:tcPr>
            <w:tcW w:w="1643" w:type="dxa"/>
            <w:vAlign w:val="center"/>
          </w:tcPr>
          <w:p>
            <w:pPr>
              <w:pStyle w:val="13"/>
            </w:pPr>
          </w:p>
        </w:tc>
        <w:tc>
          <w:tcPr>
            <w:tcW w:w="1643"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11.52</w:t>
            </w:r>
          </w:p>
        </w:tc>
        <w:tc>
          <w:tcPr>
            <w:tcW w:w="1643" w:type="dxa"/>
            <w:vAlign w:val="center"/>
          </w:tcPr>
          <w:p>
            <w:pPr>
              <w:pStyle w:val="13"/>
            </w:pPr>
          </w:p>
        </w:tc>
        <w:tc>
          <w:tcPr>
            <w:tcW w:w="1643"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37.04</w:t>
            </w:r>
          </w:p>
        </w:tc>
        <w:tc>
          <w:tcPr>
            <w:tcW w:w="1643" w:type="dxa"/>
            <w:vAlign w:val="center"/>
          </w:tcPr>
          <w:p>
            <w:pPr>
              <w:pStyle w:val="13"/>
            </w:pPr>
          </w:p>
        </w:tc>
        <w:tc>
          <w:tcPr>
            <w:tcW w:w="1643" w:type="dxa"/>
            <w:vAlign w:val="center"/>
          </w:tcPr>
          <w:p>
            <w:pPr>
              <w:pStyle w:val="13"/>
            </w:pPr>
            <w:r>
              <w:t>37.04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54.60</w:t>
            </w:r>
          </w:p>
        </w:tc>
        <w:tc>
          <w:tcPr>
            <w:tcW w:w="1643" w:type="dxa"/>
            <w:vAlign w:val="center"/>
          </w:tcPr>
          <w:p>
            <w:pPr>
              <w:pStyle w:val="13"/>
            </w:pPr>
            <w:r>
              <w:t>54.60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50.77</w:t>
            </w:r>
          </w:p>
        </w:tc>
        <w:tc>
          <w:tcPr>
            <w:tcW w:w="1643" w:type="dxa"/>
            <w:vAlign w:val="center"/>
          </w:tcPr>
          <w:p>
            <w:pPr>
              <w:pStyle w:val="13"/>
            </w:pPr>
            <w:r>
              <w:t>50.77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29</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3.39</w:t>
            </w:r>
          </w:p>
        </w:tc>
        <w:tc>
          <w:tcPr>
            <w:tcW w:w="1643" w:type="dxa"/>
            <w:vAlign w:val="center"/>
          </w:tcPr>
          <w:p>
            <w:pPr>
              <w:pStyle w:val="13"/>
            </w:pPr>
            <w:r>
              <w:t>3.39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3</w:t>
            </w:r>
            <w:r>
              <w:rPr>
                <w:rFonts w:hint="eastAsia"/>
                <w:lang w:val="en-US" w:eastAsia="zh-CN"/>
              </w:rPr>
              <w:t>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0.44</w:t>
            </w:r>
          </w:p>
        </w:tc>
        <w:tc>
          <w:tcPr>
            <w:tcW w:w="1643" w:type="dxa"/>
            <w:vAlign w:val="center"/>
          </w:tcPr>
          <w:p>
            <w:pPr>
              <w:pStyle w:val="13"/>
            </w:pPr>
            <w:r>
              <w:t>0.44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507张家口市崇礼区人民检察院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13.00</w:t>
            </w:r>
          </w:p>
        </w:tc>
        <w:tc>
          <w:tcPr>
            <w:tcW w:w="1643" w:type="dxa"/>
            <w:vAlign w:val="center"/>
          </w:tcPr>
          <w:p>
            <w:pPr>
              <w:pStyle w:val="17"/>
            </w:pPr>
            <w:r>
              <w:t>13.00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张家口市崇礼区人民检察院2023年部门预算信息公开情况说明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张家口市崇礼区人民检察院2023年部门预算信息公开情况说明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按照《预算法》、《地方预决算公开操作规程》和《关于进一步推进预算公开工作的实施意见》规定，现将张家口市崇礼区人民检察院2023年部门预算公开如下：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根据《张家口市崇礼区人民检察院职能配置、内设机构和人员编制规定》，张家口市崇礼区人民检察院的主要职责是：</w:t>
      </w:r>
    </w:p>
    <w:p>
      <w:pPr>
        <w:pStyle w:val="19"/>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9"/>
      </w:pPr>
      <w:r>
        <w:t>(二)依法向区人民代表大会及其常务委员会提出议案。</w:t>
      </w:r>
    </w:p>
    <w:p>
      <w:pPr>
        <w:pStyle w:val="19"/>
      </w:pPr>
      <w:r>
        <w:t>(三)贯彻落实检察工作方针、总体规划,研究制定检察工作计划并组织实施。</w:t>
      </w:r>
    </w:p>
    <w:p>
      <w:pPr>
        <w:pStyle w:val="19"/>
      </w:pPr>
      <w:r>
        <w:t>(四)依照法律规定对直接受理的刑事案件行使侦查权。</w:t>
      </w:r>
    </w:p>
    <w:p>
      <w:pPr>
        <w:pStyle w:val="19"/>
      </w:pPr>
      <w:r>
        <w:t>(五)负责对管辖的各类刑事案件依法审查批准逮捕、决定逮捕,提起公诉。</w:t>
      </w:r>
    </w:p>
    <w:p>
      <w:pPr>
        <w:pStyle w:val="19"/>
      </w:pPr>
      <w:r>
        <w:t>(六)负责应由本院承办的刑事,民事,行政诉讼活动及刑事,民事,行政判决和裁定等生效法律文书执行的法律监督工作。</w:t>
      </w:r>
    </w:p>
    <w:p>
      <w:pPr>
        <w:pStyle w:val="19"/>
      </w:pPr>
      <w:r>
        <w:t>(七)负责应由本院承办的提起公益诉讼工作。</w:t>
      </w:r>
    </w:p>
    <w:p>
      <w:pPr>
        <w:pStyle w:val="19"/>
      </w:pPr>
      <w:r>
        <w:t>(八)依法受理核准追诉案件,审查是否上报。</w:t>
      </w:r>
    </w:p>
    <w:p>
      <w:pPr>
        <w:pStyle w:val="19"/>
      </w:pPr>
      <w:r>
        <w:t>(九)负责应由本院承办的对看守所,社区矫正等执法活动的法律监督工作。</w:t>
      </w:r>
    </w:p>
    <w:p>
      <w:pPr>
        <w:pStyle w:val="19"/>
      </w:pPr>
      <w:r>
        <w:t>(十)受理向本院的控告申诉。</w:t>
      </w:r>
    </w:p>
    <w:p>
      <w:pPr>
        <w:pStyle w:val="19"/>
      </w:pPr>
      <w:r>
        <w:t>(十一)组织检察工作中法律政策具体应用问题的研究;组织开展检察理论研究工作。</w:t>
      </w:r>
    </w:p>
    <w:p>
      <w:pPr>
        <w:pStyle w:val="19"/>
      </w:pPr>
      <w:r>
        <w:t>(十二)负责检察人员思想政治教育和业务培训工作;按照权限管理检察官和其他工作人员。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张家口市崇礼区人民检察院本级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按照预算管理有关规定，目前我省部门预算的编制实行综合预算管理，即全部收入和支出都反映在预算中。张家口市崇礼区人民检察院机关及所属事业单位的收支包含在部门预算中。</w:t>
      </w:r>
    </w:p>
    <w:p>
      <w:pPr>
        <w:keepNext w:val="0"/>
        <w:keepLines w:val="0"/>
        <w:widowControl/>
        <w:suppressLineNumbers w:val="0"/>
        <w:spacing w:before="0" w:beforeAutospacing="0" w:after="0" w:afterAutospacing="0" w:line="15" w:lineRule="atLeast"/>
        <w:ind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1、收入说明</w:t>
      </w:r>
    </w:p>
    <w:p>
      <w:pPr>
        <w:keepNext w:val="0"/>
        <w:keepLines w:val="0"/>
        <w:widowControl/>
        <w:suppressLineNumbers w:val="0"/>
        <w:spacing w:before="0" w:beforeAutospacing="0" w:after="0" w:afterAutospacing="0" w:line="15" w:lineRule="atLeast"/>
        <w:ind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反映本部门当年全部收入。2023年预算收入932.13万元，其中：一般公共预算收入932.13万元，基金预算收入0万元，国有资本经营预算收入0万元，财政专户核拨收入0万元，单位资金收入0万元，上年结转结余0万元。</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2、支出说明</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收支预算总表支出栏、基本支出表、项目支出表按经济分类和支出功能分类科目编制，反映张家口市崇礼区人民检察院本年度部门预算中支出预算的总体情况。2023年支出预算932.13万元，其中基本支出734.67万元，包括人员经费617.71万元和日常公用经费116.96万元；项目支出197.46万元，主要为大要案专项经费、公益诉讼、公诉、侦查监督、民事、行政管理等。</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3、比上年增减情况</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2023年预算收支安排932.13万元，较2022年预算增加0万元，其中：基本支出增加0万元；项目支出增加0万元。</w:t>
      </w:r>
    </w:p>
    <w:p>
      <w:pPr>
        <w:spacing w:before="0" w:after="0" w:line="500" w:lineRule="exact"/>
        <w:ind w:firstLine="560"/>
        <w:jc w:val="left"/>
        <w:outlineLvl w:val="9"/>
        <w:rPr>
          <w:rFonts w:ascii="Times New Roman" w:hAnsi="Times New Roman" w:eastAsia="方正仿宋_GBK" w:cs="Times New Roman"/>
          <w:b/>
          <w:bCs/>
          <w:color w:val="000000"/>
          <w:sz w:val="28"/>
        </w:rPr>
      </w:pP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1124" w:firstLineChars="400"/>
        <w:jc w:val="left"/>
        <w:outlineLvl w:val="2"/>
        <w:rPr>
          <w:rFonts w:ascii="黑体" w:hAnsi="黑体" w:eastAsia="黑体" w:cs="黑体"/>
          <w:b/>
          <w:bCs/>
          <w:color w:val="000000"/>
          <w:sz w:val="28"/>
          <w:szCs w:val="28"/>
        </w:rPr>
      </w:pPr>
      <w:r>
        <w:rPr>
          <w:rFonts w:hint="eastAsia" w:ascii="宋体" w:hAnsi="宋体" w:eastAsia="宋体" w:cs="宋体"/>
          <w:b/>
          <w:bCs/>
          <w:i w:val="0"/>
          <w:caps w:val="0"/>
          <w:color w:val="000000"/>
          <w:spacing w:val="0"/>
          <w:sz w:val="28"/>
          <w:szCs w:val="28"/>
          <w:lang w:val="en-US" w:eastAsia="zh-CN"/>
        </w:rPr>
        <w:t>2023</w:t>
      </w:r>
      <w:r>
        <w:rPr>
          <w:rFonts w:hint="eastAsia" w:ascii="宋体" w:hAnsi="宋体" w:eastAsia="宋体" w:cs="宋体"/>
          <w:b/>
          <w:bCs/>
          <w:i w:val="0"/>
          <w:caps w:val="0"/>
          <w:color w:val="000000"/>
          <w:spacing w:val="0"/>
          <w:sz w:val="28"/>
          <w:szCs w:val="28"/>
        </w:rPr>
        <w:t>年，我部门运行经费共计安排116.96万元，主要用于日常维修、办公用房水电费、办公用房取暖费、办公用房物业管理费等日常运行支出。</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640" w:leftChars="0" w:firstLine="562" w:firstLineChars="200"/>
        <w:jc w:val="left"/>
        <w:outlineLvl w:val="2"/>
        <w:rPr>
          <w:rFonts w:hint="eastAsia" w:ascii="仿宋" w:hAnsi="仿宋" w:eastAsia="仿宋" w:cs="仿宋"/>
          <w:b/>
          <w:bCs/>
          <w:color w:val="000000"/>
          <w:sz w:val="28"/>
          <w:szCs w:val="28"/>
        </w:rPr>
      </w:pPr>
      <w:r>
        <w:rPr>
          <w:rFonts w:hint="eastAsia" w:ascii="仿宋" w:hAnsi="仿宋" w:eastAsia="仿宋" w:cs="仿宋"/>
          <w:b/>
          <w:bCs/>
          <w:i w:val="0"/>
          <w:caps w:val="0"/>
          <w:color w:val="000000"/>
          <w:spacing w:val="0"/>
          <w:sz w:val="28"/>
          <w:szCs w:val="28"/>
          <w:lang w:val="en-US" w:eastAsia="zh-CN"/>
        </w:rPr>
        <w:t>2</w:t>
      </w:r>
      <w:r>
        <w:rPr>
          <w:rFonts w:hint="eastAsia" w:ascii="仿宋" w:hAnsi="仿宋" w:eastAsia="仿宋" w:cs="仿宋"/>
          <w:b/>
          <w:bCs/>
          <w:i w:val="0"/>
          <w:caps w:val="0"/>
          <w:color w:val="000000"/>
          <w:spacing w:val="0"/>
          <w:sz w:val="28"/>
          <w:szCs w:val="28"/>
        </w:rPr>
        <w:t>023年，我部门财政拨款“三公”经费预算安排13万元，其中：因公出国（境）费0万元；公务用车购置及运维费10万元（其中：公务用车购置费为0万元，公务用车运维费10万元）；公务接待费3万元。与2022年相比无变化，其中：因公出国（境）费与上年持平，无变化，公务用车购置及运维费与上年持平，无变化，公务接待费与上年持平，无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3"/>
      </w:pPr>
      <w:r>
        <w:t>认真贯彻落实党的十九大精神和省委、市委和省检察院、市检察院的各项工作部署，坚持检察工作的正确方向，主动融入全市经济社会发展和法治建设大局，充分发挥各项检察职能，在严格公正司法、建设过硬队伍上下功夫，为我市经济社会发展提供有力保障。</w:t>
      </w:r>
    </w:p>
    <w:p>
      <w:pPr>
        <w:pStyle w:val="23"/>
      </w:pPr>
      <w:r>
        <w:t>1、综合运用检察职能，服务保障抢抓“三大机遇”。认真做好批捕、起诉、刑事诉讼监督等工作，坚决打击破坏国家安全和影响群众安全感的刑事犯罪。深入推进法律监督工作的创新发展，不断提高司法公信力，为保障“京津冀协同发展、冬奥会筹办、可再生能源示范区建设”，大力改善营商环境，提供公正透明的法治保证。</w:t>
      </w:r>
    </w:p>
    <w:p>
      <w:pPr>
        <w:pStyle w:val="23"/>
      </w:pPr>
      <w:r>
        <w:t>2、强化以人民群众为中心的理念，认真维护民生、民利，扎实做好民事行政审判监督工作，积极开展民事公益诉讼，运用检察职能保障精准扶贫任务落实。深化开展涉农检察工作，积极与扶贫开发部门对接，依法妥善处理涉及农民权益保护的案件，服务美丽乡村建设。</w:t>
      </w:r>
    </w:p>
    <w:p>
      <w:pPr>
        <w:pStyle w:val="23"/>
      </w:pPr>
      <w:r>
        <w:t>3、充分发挥刑事检察职能，深入开展平安张家口建设。贯认真彻宽严相济的刑事政策，严格依法打击暴力犯罪和多发性侵财犯罪，充分运用刑事和解、量刑建议、释法说理等多种手段促进矛盾化解，认真做好控告申诉工作，妥善处理涉检信访问题。</w:t>
      </w:r>
    </w:p>
    <w:p>
      <w:pPr>
        <w:pStyle w:val="23"/>
      </w:pPr>
      <w:r>
        <w:t>4、加大诉讼监督力度，努力促进司法公正。进一步加大刑事立案监督工作力度，加大对侦查活动、刑事审判监督工作，依法监督减刑、假释、暂予监外执行等活动。着眼新形势民行诉讼的特点和规律，深入推进多元化民行检察格局，进一步提升司法公信力。</w:t>
      </w:r>
    </w:p>
    <w:p>
      <w:pPr>
        <w:pStyle w:val="23"/>
      </w:pPr>
      <w:r>
        <w:t>6、进一步加强队伍政治思想和纪律作风建设，全面提高队伍战斗力。深入开展“不忘初心、牢记使命”专题教育，认真整改司法不规范问题，坚持深化检务公开，提升检察公信力。建立检察官研修制度，深化业务实训，严肃检察纪律，认真落实“两个责任”，强化检察机关的素质和作风建设，树立检察机关的新形象。</w:t>
      </w:r>
    </w:p>
    <w:p>
      <w:pPr>
        <w:spacing w:before="0" w:after="0" w:line="500" w:lineRule="exact"/>
        <w:ind w:firstLine="560" w:firstLineChars="200"/>
        <w:jc w:val="left"/>
        <w:outlineLvl w:val="9"/>
        <w:rPr>
          <w:rFonts w:ascii="Times New Roman" w:hAnsi="Times New Roman" w:eastAsia="方正仿宋_GBK" w:cs="Times New Roman"/>
          <w:color w:val="000000"/>
          <w:sz w:val="28"/>
        </w:rPr>
      </w:pPr>
    </w:p>
    <w:p>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pPr>
        <w:pStyle w:val="24"/>
      </w:pPr>
      <w:r>
        <w:t>1、在服务保障抢抓“三大机遇”方面，坚持久久为功，推进服务抢抓“三大机遇”的指导意见和实施细则的贯彻落实，确保收到实效。加大对环境保护的司法保障，大力加强环保检察工作，全面提升检察机关服务大局的实际水平。</w:t>
      </w:r>
    </w:p>
    <w:p>
      <w:pPr>
        <w:pStyle w:val="24"/>
      </w:pPr>
      <w:r>
        <w:t>2、在保障精准扶贫任务落实方面，认真完成检察机关的驻村帮扶任务，加大经费支持力度，确保扶贫目标能够如期实现。持续开展涉农检察工作，综合运用多种检察职能保障农村的稳定与发展。</w:t>
      </w:r>
    </w:p>
    <w:p>
      <w:pPr>
        <w:pStyle w:val="24"/>
      </w:pPr>
      <w:r>
        <w:t>3、在深入推进平安张家口建设方面，坚持以办案为中心，严格依法做好刑事案件的审查逮捕、审查起诉工作。通过引导侦查取证、完善证据链条等工作，提高案件质量，保障案件顺利诉判。运用法庭教育、法律文书、法律咨询、案件信息公开等方式进行释法说理，推进社会矛盾化解。</w:t>
      </w:r>
    </w:p>
    <w:p>
      <w:pPr>
        <w:pStyle w:val="24"/>
      </w:pPr>
      <w:r>
        <w:t>4、在促进司法公正方面，进一步拓展“两法衔接”平台的覆盖范围，拓展两法平台的功能，建立网上定期巡查制度，与行政执法机关开展合作，及时发现应立未立的问题。加大对侦查活动的监督，及时提出纠正意见。重点监督审判活动中的重大程序瑕疵、法律适用错误等问题，通过主动监督、事中监督等方式加大刑罚执行监督。推进督促起诉、支持起诉和民行案件执行监督工作，促进多元监督格局纵深推进。</w:t>
      </w:r>
    </w:p>
    <w:p>
      <w:pPr>
        <w:pStyle w:val="24"/>
      </w:pPr>
      <w:r>
        <w:t>5、在队伍建设上，提高培训工作的针对性、时代性和吸引力，对所有业务干警都培训一遍。进一步优化师资结构，建立全市检察机关的师资队伍，实现教学相长。继续开展“十佳评比”等活动，激励干事创业的氛围。加强纪律作风建设，提高队伍的执行力和战斗力</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认真做好思想政治教育和业务学习工作。深入开展党的十九大精神的学习贯彻，深入把握习近平新时代中国特色社会主义理论体系及对检察工作的具体要求。坚持学以致用、用以促学，大兴学习研究之风，用新的理论武装头脑、推进工作。</w:t>
      </w:r>
    </w:p>
    <w:p>
      <w:pPr>
        <w:pStyle w:val="25"/>
      </w:pPr>
      <w:r>
        <w:t>2、认真开展调研工作，全面提升调研工作质量。根据工作需要，召开检察工作服务大局、诉讼监督等专题研讨会，支持干警结合业务开展调研工作，交流好的经验做法，提升工作理性化水平。</w:t>
      </w:r>
    </w:p>
    <w:p>
      <w:pPr>
        <w:pStyle w:val="25"/>
      </w:pPr>
      <w:r>
        <w:t>3、加强与人大代表、政协委员的联系，提高接受监督的自觉性。主动向人大代表、政协委员汇报工作，认真落实代表委员的意见建议。深入推进检务公开工作，重点加大案件信息的公开力度，全面推进检察宣传工作和新媒体建设。</w:t>
      </w:r>
    </w:p>
    <w:p>
      <w:pPr>
        <w:pStyle w:val="25"/>
      </w:pPr>
      <w:r>
        <w:t>4、加大检务保障力度，提升检察机关的执行力和战斗力。通过引进人才、加强培训，提升检察综合工作的能力水平。市院发挥好带头引领作用，加强对基层院指导帮助。进一步完善装备技术等方面的后勤服务工作，为机关运转提供有力保障。</w:t>
      </w:r>
    </w:p>
    <w:p>
      <w:pPr>
        <w:pStyle w:val="2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ind w:firstLine="640"/>
        <w:rPr>
          <w:rFonts w:hint="eastAsia" w:ascii="Times New Roman" w:hAnsi="Times New Roman" w:eastAsia="方正仿宋_GBK" w:cs="Times New Roman"/>
          <w:sz w:val="28"/>
          <w:szCs w:val="24"/>
          <w:lang w:val="en-US" w:eastAsia="zh-CN" w:bidi="ar-SA"/>
        </w:r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1、综合业务管理（崇礼区人民检察院）绩效目标表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1.1.保证保安、保洁服务人员工资发放2.化解矛盾纠纷，减轻当事人生活困难3.改善办公环境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服务人员数量</w:t>
            </w:r>
          </w:p>
        </w:tc>
        <w:tc>
          <w:tcPr>
            <w:tcW w:w="2466" w:type="dxa"/>
            <w:vAlign w:val="center"/>
          </w:tcPr>
          <w:p>
            <w:pPr>
              <w:pStyle w:val="14"/>
            </w:pPr>
            <w:r>
              <w:t>服务人员工资发放数量、司法救助数量</w:t>
            </w:r>
          </w:p>
        </w:tc>
        <w:tc>
          <w:tcPr>
            <w:tcW w:w="2466" w:type="dxa"/>
            <w:vAlign w:val="center"/>
          </w:tcPr>
          <w:p>
            <w:pPr>
              <w:pStyle w:val="14"/>
            </w:pPr>
            <w:r>
              <w:t>≥197.46万元</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办公环境卫生质量</w:t>
            </w:r>
          </w:p>
        </w:tc>
        <w:tc>
          <w:tcPr>
            <w:tcW w:w="2466" w:type="dxa"/>
            <w:vAlign w:val="center"/>
          </w:tcPr>
          <w:p>
            <w:pPr>
              <w:pStyle w:val="14"/>
            </w:pPr>
            <w:r>
              <w:t>保持办公环境整洁卫生</w:t>
            </w:r>
          </w:p>
        </w:tc>
        <w:tc>
          <w:tcPr>
            <w:tcW w:w="2466" w:type="dxa"/>
            <w:vAlign w:val="center"/>
          </w:tcPr>
          <w:p>
            <w:pPr>
              <w:pStyle w:val="14"/>
            </w:pPr>
            <w:r>
              <w:t>≥95百分比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资金及时到位</w:t>
            </w:r>
          </w:p>
        </w:tc>
        <w:tc>
          <w:tcPr>
            <w:tcW w:w="2466" w:type="dxa"/>
            <w:vAlign w:val="center"/>
          </w:tcPr>
          <w:p>
            <w:pPr>
              <w:pStyle w:val="14"/>
            </w:pPr>
            <w:r>
              <w:t>资金及时到位</w:t>
            </w:r>
          </w:p>
        </w:tc>
        <w:tc>
          <w:tcPr>
            <w:tcW w:w="2466" w:type="dxa"/>
            <w:vAlign w:val="center"/>
          </w:tcPr>
          <w:p>
            <w:pPr>
              <w:pStyle w:val="14"/>
            </w:pPr>
            <w:r>
              <w:t>≥99百分比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合理安排使用资金</w:t>
            </w:r>
          </w:p>
        </w:tc>
        <w:tc>
          <w:tcPr>
            <w:tcW w:w="2466" w:type="dxa"/>
            <w:vAlign w:val="center"/>
          </w:tcPr>
          <w:p>
            <w:pPr>
              <w:pStyle w:val="14"/>
            </w:pPr>
            <w:r>
              <w:t>合理安排使用资金</w:t>
            </w:r>
          </w:p>
        </w:tc>
        <w:tc>
          <w:tcPr>
            <w:tcW w:w="2466" w:type="dxa"/>
            <w:vAlign w:val="center"/>
          </w:tcPr>
          <w:p>
            <w:pPr>
              <w:pStyle w:val="14"/>
            </w:pPr>
            <w:r>
              <w:t>≥197.46万元</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需要救助当事人比例</w:t>
            </w:r>
          </w:p>
        </w:tc>
        <w:tc>
          <w:tcPr>
            <w:tcW w:w="2466" w:type="dxa"/>
            <w:vAlign w:val="center"/>
          </w:tcPr>
          <w:p>
            <w:pPr>
              <w:pStyle w:val="14"/>
            </w:pPr>
            <w:r>
              <w:t>减轻当事人经济困难</w:t>
            </w:r>
          </w:p>
        </w:tc>
        <w:tc>
          <w:tcPr>
            <w:tcW w:w="2466" w:type="dxa"/>
            <w:vAlign w:val="center"/>
          </w:tcPr>
          <w:p>
            <w:pPr>
              <w:pStyle w:val="14"/>
            </w:pPr>
            <w:r>
              <w:t>≥90百分比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办公环境整洁卫生</w:t>
            </w:r>
          </w:p>
        </w:tc>
        <w:tc>
          <w:tcPr>
            <w:tcW w:w="2466" w:type="dxa"/>
            <w:vAlign w:val="center"/>
          </w:tcPr>
          <w:p>
            <w:pPr>
              <w:pStyle w:val="14"/>
            </w:pPr>
            <w:r>
              <w:t>办公环境干净整洁</w:t>
            </w:r>
          </w:p>
        </w:tc>
        <w:tc>
          <w:tcPr>
            <w:tcW w:w="2466" w:type="dxa"/>
            <w:vAlign w:val="center"/>
          </w:tcPr>
          <w:p>
            <w:pPr>
              <w:pStyle w:val="14"/>
            </w:pPr>
            <w:r>
              <w:t>≥95百分比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环境卫生保持良好</w:t>
            </w:r>
          </w:p>
        </w:tc>
        <w:tc>
          <w:tcPr>
            <w:tcW w:w="2466" w:type="dxa"/>
            <w:vAlign w:val="center"/>
          </w:tcPr>
          <w:p>
            <w:pPr>
              <w:pStyle w:val="14"/>
            </w:pPr>
            <w:r>
              <w:t>保持卫生环境整洁</w:t>
            </w:r>
          </w:p>
        </w:tc>
        <w:tc>
          <w:tcPr>
            <w:tcW w:w="2466" w:type="dxa"/>
            <w:vAlign w:val="center"/>
          </w:tcPr>
          <w:p>
            <w:pPr>
              <w:pStyle w:val="14"/>
            </w:pPr>
            <w:r>
              <w:t>≥90百分比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社会公众对我院工作满意度</w:t>
            </w:r>
          </w:p>
        </w:tc>
        <w:tc>
          <w:tcPr>
            <w:tcW w:w="2466" w:type="dxa"/>
            <w:vAlign w:val="center"/>
          </w:tcPr>
          <w:p>
            <w:pPr>
              <w:pStyle w:val="14"/>
            </w:pPr>
            <w:r>
              <w:t>≥90百分比</w:t>
            </w:r>
          </w:p>
        </w:tc>
        <w:tc>
          <w:tcPr>
            <w:tcW w:w="2466" w:type="dxa"/>
            <w:vAlign w:val="center"/>
          </w:tcPr>
          <w:p>
            <w:pPr>
              <w:pStyle w:val="14"/>
            </w:pPr>
            <w:r>
              <w:t>政策文件预算标准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2023年，张家口市崇礼区人民检察院安排政府采购预算10.00万元。具体内容见下表。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507张家口市崇礼区人民检察院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张家口市崇礼区人民检察院本级小计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日常公用经费（上划法检）</w:t>
            </w:r>
          </w:p>
        </w:tc>
        <w:tc>
          <w:tcPr>
            <w:tcW w:w="924" w:type="dxa"/>
            <w:vAlign w:val="center"/>
          </w:tcPr>
          <w:p>
            <w:pPr>
              <w:pStyle w:val="13"/>
            </w:pPr>
            <w:r>
              <w:t>116.96</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万元</w:t>
            </w:r>
          </w:p>
        </w:tc>
        <w:tc>
          <w:tcPr>
            <w:tcW w:w="924" w:type="dxa"/>
            <w:vAlign w:val="center"/>
          </w:tcPr>
          <w:p>
            <w:pPr>
              <w:pStyle w:val="13"/>
            </w:pPr>
            <w:r>
              <w:t>20</w:t>
            </w:r>
          </w:p>
        </w:tc>
        <w:tc>
          <w:tcPr>
            <w:tcW w:w="924" w:type="dxa"/>
            <w:vAlign w:val="center"/>
          </w:tcPr>
          <w:p>
            <w:pPr>
              <w:pStyle w:val="13"/>
            </w:pPr>
            <w:r>
              <w:t>0.50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张家口市崇礼区人民检察院</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1493.99</w:t>
      </w:r>
      <w:r>
        <w:rPr>
          <w:rFonts w:ascii="Times New Roman" w:hAnsi="Times New Roman" w:eastAsia="方正仿宋_GBK" w:cs="Times New Roman"/>
          <w:b w:val="0"/>
          <w:color w:val="000000"/>
          <w:sz w:val="28"/>
        </w:rPr>
        <w:t>万元（详见下表）。本年度拟购置固定资产总额为</w:t>
      </w:r>
      <w:bookmarkStart w:id="18" w:name="_GoBack"/>
      <w:bookmarkEnd w:id="18"/>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507张家口市崇礼区人民检察院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cs="方正书宋_GBK"/>
                <w:sz w:val="21"/>
                <w:szCs w:val="24"/>
                <w:lang w:val="en-US" w:eastAsia="zh-CN" w:bidi="ar-SA"/>
              </w:rPr>
              <w:t>1493.99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5820.02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5820.02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672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cs="方正书宋_GBK"/>
                <w:sz w:val="21"/>
                <w:szCs w:val="24"/>
                <w:lang w:val="en-US" w:eastAsia="zh-CN" w:bidi="ar-SA"/>
              </w:rPr>
              <w:t>679.31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E07EA"/>
    <w:multiLevelType w:val="singleLevel"/>
    <w:tmpl w:val="DBAE07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GFlNzUyZDcyOTAxMGZiNzNkMzk1MzZmZjI4M2EifQ=="/>
  </w:docVars>
  <w:rsids>
    <w:rsidRoot w:val="00000000"/>
    <w:rsid w:val="05077C6F"/>
    <w:rsid w:val="098911EC"/>
    <w:rsid w:val="19761A02"/>
    <w:rsid w:val="19CD7193"/>
    <w:rsid w:val="1F1D540B"/>
    <w:rsid w:val="3A1B67CC"/>
    <w:rsid w:val="47AB353C"/>
    <w:rsid w:val="51AE1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2023-06-13T08:44:07Z</dcterms:created>
  <dcterms:modified xsi:type="dcterms:W3CDTF">2023-06-13T00:44:07Z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507bfa-4578-447f-8863-5ae6d9055fca}">
  <ds:schemaRefs/>
</ds:datastoreItem>
</file>

<file path=customXml/itemProps10.xml><?xml version="1.0" encoding="utf-8"?>
<ds:datastoreItem xmlns:ds="http://schemas.openxmlformats.org/officeDocument/2006/customXml" ds:itemID="{a3d4a4d8-34a9-4f93-821b-d892e9a78ec4}">
  <ds:schemaRefs/>
</ds:datastoreItem>
</file>

<file path=customXml/itemProps11.xml><?xml version="1.0" encoding="utf-8"?>
<ds:datastoreItem xmlns:ds="http://schemas.openxmlformats.org/officeDocument/2006/customXml" ds:itemID="{e9d1bff3-d34f-4673-aa8b-313e7ee93a97}">
  <ds:schemaRefs/>
</ds:datastoreItem>
</file>

<file path=customXml/itemProps12.xml><?xml version="1.0" encoding="utf-8"?>
<ds:datastoreItem xmlns:ds="http://schemas.openxmlformats.org/officeDocument/2006/customXml" ds:itemID="{0103d506-6f64-4c49-b121-37b3326ae066}">
  <ds:schemaRefs/>
</ds:datastoreItem>
</file>

<file path=customXml/itemProps13.xml><?xml version="1.0" encoding="utf-8"?>
<ds:datastoreItem xmlns:ds="http://schemas.openxmlformats.org/officeDocument/2006/customXml" ds:itemID="{30adff4f-8098-4f03-aa3a-7ff5c38ffe77}">
  <ds:schemaRefs/>
</ds:datastoreItem>
</file>

<file path=customXml/itemProps14.xml><?xml version="1.0" encoding="utf-8"?>
<ds:datastoreItem xmlns:ds="http://schemas.openxmlformats.org/officeDocument/2006/customXml" ds:itemID="{a554a137-c076-4e25-aa38-8d46c9b55ea7}">
  <ds:schemaRefs/>
</ds:datastoreItem>
</file>

<file path=customXml/itemProps2.xml><?xml version="1.0" encoding="utf-8"?>
<ds:datastoreItem xmlns:ds="http://schemas.openxmlformats.org/officeDocument/2006/customXml" ds:itemID="{2bd33b11-dfb3-444b-a2e7-a6cf7a1fe3b0}">
  <ds:schemaRefs/>
</ds:datastoreItem>
</file>

<file path=customXml/itemProps3.xml><?xml version="1.0" encoding="utf-8"?>
<ds:datastoreItem xmlns:ds="http://schemas.openxmlformats.org/officeDocument/2006/customXml" ds:itemID="{74b9833b-92b8-4374-b561-c48c3ce4018c}">
  <ds:schemaRefs/>
</ds:datastoreItem>
</file>

<file path=customXml/itemProps4.xml><?xml version="1.0" encoding="utf-8"?>
<ds:datastoreItem xmlns:ds="http://schemas.openxmlformats.org/officeDocument/2006/customXml" ds:itemID="{1ecf8259-3e53-407a-8cc7-6e2d41d04e01}">
  <ds:schemaRefs/>
</ds:datastoreItem>
</file>

<file path=customXml/itemProps5.xml><?xml version="1.0" encoding="utf-8"?>
<ds:datastoreItem xmlns:ds="http://schemas.openxmlformats.org/officeDocument/2006/customXml" ds:itemID="{385d9644-8bc1-429c-88dc-87733d1d0757}">
  <ds:schemaRefs/>
</ds:datastoreItem>
</file>

<file path=customXml/itemProps6.xml><?xml version="1.0" encoding="utf-8"?>
<ds:datastoreItem xmlns:ds="http://schemas.openxmlformats.org/officeDocument/2006/customXml" ds:itemID="{e2d4225a-da94-4a67-bc1d-41b015875e9e}">
  <ds:schemaRefs/>
</ds:datastoreItem>
</file>

<file path=customXml/itemProps7.xml><?xml version="1.0" encoding="utf-8"?>
<ds:datastoreItem xmlns:ds="http://schemas.openxmlformats.org/officeDocument/2006/customXml" ds:itemID="{f2752982-3de2-4b24-a592-c31dec5b2dc0}">
  <ds:schemaRefs/>
</ds:datastoreItem>
</file>

<file path=customXml/itemProps8.xml><?xml version="1.0" encoding="utf-8"?>
<ds:datastoreItem xmlns:ds="http://schemas.openxmlformats.org/officeDocument/2006/customXml" ds:itemID="{abafdaf8-721d-4ea8-991b-670bb7819f4d}">
  <ds:schemaRefs/>
</ds:datastoreItem>
</file>

<file path=customXml/itemProps9.xml><?xml version="1.0" encoding="utf-8"?>
<ds:datastoreItem xmlns:ds="http://schemas.openxmlformats.org/officeDocument/2006/customXml" ds:itemID="{73605b93-c2f0-448c-b29d-260529c9d59d}">
  <ds:schemaRefs/>
</ds:datastoreItem>
</file>

<file path=docProps/app.xml><?xml version="1.0" encoding="utf-8"?>
<Properties xmlns="http://schemas.openxmlformats.org/officeDocument/2006/extended-properties" xmlns:vt="http://schemas.openxmlformats.org/officeDocument/2006/docPropsVTypes">
  <Pages>39</Pages>
  <Words>7530</Words>
  <Characters>9059</Characters>
  <TotalTime>20</TotalTime>
  <ScaleCrop>false</ScaleCrop>
  <LinksUpToDate>false</LinksUpToDate>
  <CharactersWithSpaces>9225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2023-06-13T08:44:00Z</dcterms:created>
  <dc:creator>jcy</dc:creator>
  <cp:lastModifiedBy>86198</cp:lastModifiedBy>
  <dcterms:modified xsi:type="dcterms:W3CDTF">2023-06-30T01:02:15Z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D7F8E98A2F96476F9E72A7CE1F9DFEF5_13</vt:lpwstr>
  </property>
</Properties>
</file>